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DAF0" w14:textId="24C28729" w:rsidR="005F11B0" w:rsidRDefault="005F11B0" w:rsidP="00DB027E">
      <w:p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8D3DAC" wp14:editId="5C2D5636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901952" cy="804672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20C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</w:p>
    <w:p w14:paraId="75470665" w14:textId="77777777" w:rsidR="005F11B0" w:rsidRDefault="005F11B0" w:rsidP="00DB027E">
      <w:p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021FBBBC" w14:textId="77777777" w:rsidR="00F37555" w:rsidRPr="00CF5433" w:rsidRDefault="00FD4ABD" w:rsidP="00DB027E">
      <w:p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F543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PURPOSE</w:t>
      </w:r>
    </w:p>
    <w:p w14:paraId="32F58494" w14:textId="4FC1F3D6" w:rsidR="00280BAA" w:rsidRDefault="00280BAA" w:rsidP="00280B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280BAA">
        <w:rPr>
          <w:rFonts w:asciiTheme="minorHAnsi" w:hAnsiTheme="minorHAnsi"/>
          <w:color w:val="333333"/>
          <w:sz w:val="22"/>
          <w:szCs w:val="28"/>
          <w:bdr w:val="none" w:sz="0" w:space="0" w:color="auto" w:frame="1"/>
        </w:rPr>
        <w:t>The purpose of this document is to address the requirements for Home Owners Insurance and Flood Insurance</w:t>
      </w:r>
      <w:r>
        <w:rPr>
          <w:color w:val="333333"/>
          <w:sz w:val="28"/>
          <w:szCs w:val="28"/>
          <w:bdr w:val="none" w:sz="0" w:space="0" w:color="auto" w:frame="1"/>
        </w:rPr>
        <w:t>.</w:t>
      </w:r>
      <w:r w:rsidR="00A57467">
        <w:rPr>
          <w:color w:val="333333"/>
          <w:sz w:val="28"/>
          <w:szCs w:val="28"/>
          <w:bdr w:val="none" w:sz="0" w:space="0" w:color="auto" w:frame="1"/>
        </w:rPr>
        <w:t xml:space="preserve">  </w:t>
      </w:r>
      <w:r w:rsidR="00A57467" w:rsidRPr="00A57467">
        <w:rPr>
          <w:rFonts w:asciiTheme="minorHAnsi" w:hAnsiTheme="minorHAnsi"/>
          <w:b/>
          <w:i/>
          <w:color w:val="333333"/>
          <w:sz w:val="22"/>
          <w:szCs w:val="22"/>
          <w:bdr w:val="none" w:sz="0" w:space="0" w:color="auto" w:frame="1"/>
        </w:rPr>
        <w:t>Examples available on</w:t>
      </w:r>
      <w:r w:rsidR="00A57467">
        <w:rPr>
          <w:rFonts w:asciiTheme="minorHAnsi" w:hAnsiTheme="minorHAnsi"/>
          <w:b/>
          <w:i/>
          <w:color w:val="333333"/>
          <w:sz w:val="22"/>
          <w:szCs w:val="22"/>
          <w:bdr w:val="none" w:sz="0" w:space="0" w:color="auto" w:frame="1"/>
        </w:rPr>
        <w:t xml:space="preserve"> p</w:t>
      </w:r>
      <w:r w:rsidR="00A57467" w:rsidRPr="00A57467">
        <w:rPr>
          <w:rFonts w:asciiTheme="minorHAnsi" w:hAnsiTheme="minorHAnsi"/>
          <w:b/>
          <w:i/>
          <w:color w:val="333333"/>
          <w:sz w:val="22"/>
          <w:szCs w:val="22"/>
          <w:bdr w:val="none" w:sz="0" w:space="0" w:color="auto" w:frame="1"/>
        </w:rPr>
        <w:t>age</w:t>
      </w:r>
      <w:r w:rsidR="00F57251">
        <w:rPr>
          <w:rFonts w:asciiTheme="minorHAnsi" w:hAnsiTheme="minorHAnsi"/>
          <w:b/>
          <w:i/>
          <w:color w:val="333333"/>
          <w:sz w:val="22"/>
          <w:szCs w:val="22"/>
          <w:bdr w:val="none" w:sz="0" w:space="0" w:color="auto" w:frame="1"/>
        </w:rPr>
        <w:t xml:space="preserve"> 2.</w:t>
      </w:r>
    </w:p>
    <w:p w14:paraId="5D9AFF08" w14:textId="77777777" w:rsidR="00280BAA" w:rsidRDefault="00280BAA" w:rsidP="00280B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5F97E17B" w14:textId="2BCAC45E" w:rsidR="005F11B0" w:rsidRDefault="00FD4ABD" w:rsidP="00F641D1">
      <w:pPr>
        <w:spacing w:line="360" w:lineRule="auto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CF543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GENERAL</w:t>
      </w:r>
      <w:r w:rsidR="001A4D41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INFORMATION</w:t>
      </w:r>
    </w:p>
    <w:p w14:paraId="37E74384" w14:textId="0323DA50" w:rsidR="00280BAA" w:rsidRDefault="00280BAA" w:rsidP="00280B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5B9BD5" w:themeColor="accent1"/>
          <w:sz w:val="28"/>
          <w:bdr w:val="none" w:sz="0" w:space="0" w:color="auto" w:frame="1"/>
        </w:rPr>
      </w:pPr>
      <w:r w:rsidRPr="00280BAA">
        <w:rPr>
          <w:rFonts w:asciiTheme="minorHAnsi" w:hAnsiTheme="minorHAnsi"/>
          <w:b/>
          <w:color w:val="5B9BD5" w:themeColor="accent1"/>
          <w:sz w:val="28"/>
          <w:bdr w:val="none" w:sz="0" w:space="0" w:color="auto" w:frame="1"/>
        </w:rPr>
        <w:t>Home</w:t>
      </w:r>
      <w:r w:rsidR="0013464D">
        <w:rPr>
          <w:rFonts w:asciiTheme="minorHAnsi" w:hAnsiTheme="minorHAnsi"/>
          <w:b/>
          <w:color w:val="5B9BD5" w:themeColor="accent1"/>
          <w:sz w:val="28"/>
          <w:bdr w:val="none" w:sz="0" w:space="0" w:color="auto" w:frame="1"/>
        </w:rPr>
        <w:t>o</w:t>
      </w:r>
      <w:r w:rsidRPr="00280BAA">
        <w:rPr>
          <w:rFonts w:asciiTheme="minorHAnsi" w:hAnsiTheme="minorHAnsi"/>
          <w:b/>
          <w:color w:val="5B9BD5" w:themeColor="accent1"/>
          <w:sz w:val="28"/>
          <w:bdr w:val="none" w:sz="0" w:space="0" w:color="auto" w:frame="1"/>
        </w:rPr>
        <w:t>wners Insurance:</w:t>
      </w:r>
    </w:p>
    <w:p w14:paraId="15551BBB" w14:textId="77777777" w:rsidR="00280BAA" w:rsidRPr="008C2185" w:rsidRDefault="00280BAA" w:rsidP="00280B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18"/>
          <w:szCs w:val="28"/>
          <w:bdr w:val="none" w:sz="0" w:space="0" w:color="auto" w:frame="1"/>
        </w:rPr>
      </w:pPr>
    </w:p>
    <w:p w14:paraId="68EB5877" w14:textId="2C6F2F2A" w:rsidR="00280BAA" w:rsidRPr="00A57467" w:rsidRDefault="00A57467" w:rsidP="00280B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A57467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100% of the insurable value of the improvements, as established by the property insurer; </w:t>
      </w:r>
      <w:r w:rsidRPr="00A57467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or</w:t>
      </w:r>
    </w:p>
    <w:p w14:paraId="4071388C" w14:textId="55D6C07D" w:rsidR="00A57467" w:rsidRPr="00A57467" w:rsidRDefault="00A57467" w:rsidP="00280B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A57467">
        <w:rPr>
          <w:rFonts w:asciiTheme="minorHAnsi" w:hAnsiTheme="minorHAnsi" w:cs="Helvetica"/>
          <w:color w:val="333333"/>
          <w:sz w:val="22"/>
          <w:szCs w:val="22"/>
        </w:rPr>
        <w:t>The unpaid principal balance of the mortgage, as long as it at least equals the minimum amount – 80% of the insurable value of the improvements – required to compensate for damage or loss on a replacement cost basis.  If it does not, then coverage that does provide the minimum required amount must be obtained.</w:t>
      </w:r>
    </w:p>
    <w:p w14:paraId="4C81C89D" w14:textId="1443687F" w:rsidR="00280BAA" w:rsidRPr="00A57467" w:rsidRDefault="00280BAA" w:rsidP="00280B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A57467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The premium amount must be referenced (reflect balance due or paid)</w:t>
      </w:r>
      <w:r w:rsidRPr="00A57467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  <w:r w:rsidRPr="00A57467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IF paid</w:t>
      </w:r>
      <w:r w:rsidR="0059320C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,</w:t>
      </w:r>
      <w:r w:rsidRPr="00A57467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 xml:space="preserve"> a receipt needs to be provided</w:t>
      </w:r>
      <w:r w:rsidR="0059320C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.  For a refinance where the borrower is not escrowing, either a paid receipt for the total premium is required thru the term of the policy or if a balance is due an invoice showing that the premiums are current as of the closing date</w:t>
      </w:r>
      <w:r w:rsidR="008307AB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 xml:space="preserve"> is required</w:t>
      </w:r>
      <w:r w:rsidR="0059320C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.</w:t>
      </w:r>
    </w:p>
    <w:p w14:paraId="29FA1C6F" w14:textId="1106BA63" w:rsidR="00280BAA" w:rsidRPr="0059320C" w:rsidRDefault="00280BAA" w:rsidP="00280B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A57467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The policy should be in effect for a one-year period from closing,</w:t>
      </w:r>
      <w:r w:rsidR="0059320C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on a purchase. T</w:t>
      </w:r>
      <w:r w:rsidRPr="00A57467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his must be reflected on the policy. </w:t>
      </w:r>
      <w:r w:rsidRPr="00A57467">
        <w:rPr>
          <w:rFonts w:asciiTheme="minorHAnsi" w:hAnsiTheme="minorHAnsi"/>
          <w:i/>
          <w:color w:val="333333"/>
          <w:sz w:val="22"/>
          <w:szCs w:val="22"/>
          <w:bdr w:val="none" w:sz="0" w:space="0" w:color="auto" w:frame="1"/>
        </w:rPr>
        <w:t>(Policy can be dated up to 15 days prior to the date of closing)</w:t>
      </w:r>
    </w:p>
    <w:p w14:paraId="4A292794" w14:textId="0C90C9F8" w:rsidR="0059320C" w:rsidRPr="0059320C" w:rsidRDefault="0059320C" w:rsidP="00E34EC7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59320C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In the event of a refinance</w:t>
      </w: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</w:t>
      </w:r>
      <w:r w:rsidRPr="0059320C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the coverage must be in effect </w:t>
      </w: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for a period greater</w:t>
      </w:r>
      <w:r w:rsidRPr="0059320C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than 60 days from closing. </w:t>
      </w:r>
      <w:r w:rsidRPr="0059320C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IF</w:t>
      </w:r>
      <w:r w:rsidRPr="0059320C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the </w:t>
      </w: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current HOI policy</w:t>
      </w:r>
      <w:r w:rsidRPr="0059320C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is </w:t>
      </w:r>
      <w:r w:rsidRPr="0059320C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NOT</w:t>
      </w:r>
      <w:r w:rsidRPr="0059320C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greater than 60 days from closing </w:t>
      </w: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a binder for the renewal will be required and </w:t>
      </w:r>
      <w:r w:rsidRPr="0059320C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the premium will need to be collected at closing</w:t>
      </w: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.</w:t>
      </w:r>
    </w:p>
    <w:p w14:paraId="509CDA36" w14:textId="572CBB89" w:rsidR="00280BAA" w:rsidRPr="00A57467" w:rsidRDefault="00280BAA" w:rsidP="00280B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i/>
          <w:color w:val="333333"/>
          <w:sz w:val="22"/>
          <w:szCs w:val="22"/>
        </w:rPr>
      </w:pPr>
      <w:r w:rsidRPr="00A57467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The deductible amount should be listed on the policy. The maximum amount on housing products, and USDA should be no more than a $1,000 </w:t>
      </w:r>
      <w:r w:rsidRPr="00A57467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Except</w:t>
      </w:r>
      <w:r w:rsidRPr="00A57467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CHFA which allows up to a $1500 deductible. </w:t>
      </w:r>
      <w:r w:rsidR="00AC391B" w:rsidRPr="00A57467">
        <w:rPr>
          <w:rFonts w:asciiTheme="minorHAnsi" w:hAnsiTheme="minorHAnsi"/>
          <w:sz w:val="22"/>
          <w:szCs w:val="22"/>
        </w:rPr>
        <w:t>The maximum deductible for all other programs is 5% of the dwelling coverage amount</w:t>
      </w:r>
      <w:r w:rsidR="00AC391B" w:rsidRPr="00A57467">
        <w:rPr>
          <w:rFonts w:ascii="Comic Sans MS" w:hAnsi="Comic Sans MS"/>
          <w:sz w:val="22"/>
          <w:szCs w:val="22"/>
        </w:rPr>
        <w:t>.</w:t>
      </w:r>
      <w:r w:rsidR="00AC391B" w:rsidRPr="00A57467">
        <w:rPr>
          <w:rFonts w:asciiTheme="minorHAnsi" w:hAnsiTheme="minorHAnsi"/>
          <w:i/>
          <w:color w:val="333333"/>
          <w:sz w:val="22"/>
          <w:szCs w:val="22"/>
          <w:bdr w:val="none" w:sz="0" w:space="0" w:color="auto" w:frame="1"/>
        </w:rPr>
        <w:t xml:space="preserve"> </w:t>
      </w:r>
      <w:r w:rsidRPr="00A57467">
        <w:rPr>
          <w:rFonts w:asciiTheme="minorHAnsi" w:hAnsiTheme="minorHAnsi"/>
          <w:i/>
          <w:color w:val="333333"/>
          <w:sz w:val="22"/>
          <w:szCs w:val="22"/>
          <w:bdr w:val="none" w:sz="0" w:space="0" w:color="auto" w:frame="1"/>
        </w:rPr>
        <w:t>(The deductible is also required on a Condo master policy)</w:t>
      </w:r>
    </w:p>
    <w:p w14:paraId="2C6C2D0C" w14:textId="32A3535A" w:rsidR="00280BAA" w:rsidRPr="00A57467" w:rsidRDefault="00280BAA" w:rsidP="00280B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A57467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All information within the policy should be reviewed for accuracy, included but not limited to:</w:t>
      </w:r>
    </w:p>
    <w:p w14:paraId="60312165" w14:textId="77777777" w:rsidR="00280BAA" w:rsidRDefault="00280BAA" w:rsidP="00280BA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</w:pPr>
    </w:p>
    <w:p w14:paraId="4D09009F" w14:textId="57DB1674" w:rsidR="00280BAA" w:rsidRPr="00280BAA" w:rsidRDefault="00280BAA" w:rsidP="009767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  <w:sz w:val="22"/>
          <w:szCs w:val="22"/>
        </w:rPr>
      </w:pPr>
      <w:r w:rsidRPr="00280BAA"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Name(s) of borrower(s)</w:t>
      </w:r>
    </w:p>
    <w:p w14:paraId="6D69B6BD" w14:textId="77777777" w:rsidR="00280BAA" w:rsidRPr="00280BAA" w:rsidRDefault="00280BAA" w:rsidP="009767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  <w:sz w:val="22"/>
          <w:szCs w:val="22"/>
        </w:rPr>
      </w:pPr>
      <w:r w:rsidRPr="00280BAA"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Property address</w:t>
      </w:r>
    </w:p>
    <w:p w14:paraId="586D0373" w14:textId="6A95D2A3" w:rsidR="00280BAA" w:rsidRPr="009767F2" w:rsidRDefault="00280BAA" w:rsidP="009767F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  <w:sz w:val="22"/>
          <w:szCs w:val="22"/>
        </w:rPr>
      </w:pPr>
      <w:r w:rsidRPr="00280BAA"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Mortgagee clause</w:t>
      </w:r>
    </w:p>
    <w:p w14:paraId="692A2858" w14:textId="77777777" w:rsidR="00280BAA" w:rsidRDefault="00280BAA" w:rsidP="00280BAA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p w14:paraId="115AA272" w14:textId="7DC7ACEB" w:rsidR="00280BAA" w:rsidRDefault="00280BAA" w:rsidP="00280B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5B9BD5" w:themeColor="accent1"/>
          <w:sz w:val="28"/>
          <w:szCs w:val="28"/>
          <w:bdr w:val="none" w:sz="0" w:space="0" w:color="auto" w:frame="1"/>
        </w:rPr>
      </w:pPr>
      <w:r w:rsidRPr="00280BAA">
        <w:rPr>
          <w:rFonts w:asciiTheme="minorHAnsi" w:hAnsiTheme="minorHAnsi"/>
          <w:b/>
          <w:color w:val="5B9BD5" w:themeColor="accent1"/>
          <w:sz w:val="28"/>
          <w:szCs w:val="28"/>
          <w:bdr w:val="none" w:sz="0" w:space="0" w:color="auto" w:frame="1"/>
        </w:rPr>
        <w:t>Master Condo Policy:</w:t>
      </w:r>
    </w:p>
    <w:p w14:paraId="0C9C7DE1" w14:textId="77777777" w:rsidR="009767F2" w:rsidRPr="008C2185" w:rsidRDefault="009767F2" w:rsidP="00280B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5B9BD5" w:themeColor="accent1"/>
          <w:sz w:val="18"/>
          <w:szCs w:val="20"/>
        </w:rPr>
      </w:pPr>
    </w:p>
    <w:p w14:paraId="5D16A729" w14:textId="51919B43" w:rsidR="00280BAA" w:rsidRPr="00280BAA" w:rsidRDefault="009767F2" w:rsidP="00280B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The Master Condo Policy m</w:t>
      </w:r>
      <w:r w:rsidR="00280BAA" w:rsidRPr="00280BAA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ust reference our borrower(s) and the unit/property information</w:t>
      </w:r>
    </w:p>
    <w:p w14:paraId="4917AF21" w14:textId="1CB457C8" w:rsidR="00280BAA" w:rsidRPr="00280BAA" w:rsidRDefault="00280BAA" w:rsidP="00280BA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 w:rsidRPr="00280BAA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If the Master Policy does not include walls in </w:t>
      </w:r>
      <w:r w:rsidRPr="009767F2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or</w:t>
      </w:r>
      <w:r w:rsidRPr="00280BAA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all in, a H06 is required</w:t>
      </w:r>
    </w:p>
    <w:p w14:paraId="2CA659A9" w14:textId="33EB6327" w:rsidR="00280BAA" w:rsidRPr="00280BAA" w:rsidRDefault="00280BAA" w:rsidP="00280BA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 w:rsidRPr="00280BAA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If the Master Policy includes </w:t>
      </w:r>
      <w:r w:rsidRPr="009767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“walls in”</w:t>
      </w:r>
      <w:r w:rsidRPr="009767F2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 xml:space="preserve"> or</w:t>
      </w:r>
      <w:r w:rsidRPr="00280BAA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Pr="009767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“all in</w:t>
      </w:r>
      <w:r w:rsidR="009767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</w:t>
      </w:r>
      <w:r w:rsidRPr="009767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”</w:t>
      </w:r>
      <w:r w:rsidRPr="00280BAA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</w:t>
      </w:r>
      <w:r w:rsidR="0059320C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but does not</w:t>
      </w:r>
      <w:r w:rsidRPr="00280BAA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include </w:t>
      </w:r>
      <w:r w:rsidR="009767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“</w:t>
      </w:r>
      <w:r w:rsidRPr="00280BAA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betterments and improvements</w:t>
      </w:r>
      <w:r w:rsidR="0059320C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” </w:t>
      </w:r>
      <w:r w:rsidRPr="00280BAA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an H06 is required</w:t>
      </w:r>
    </w:p>
    <w:p w14:paraId="63A8FADF" w14:textId="2C3705ED" w:rsidR="00280BAA" w:rsidRPr="00280BAA" w:rsidRDefault="009767F2" w:rsidP="00280BA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="Helvetica"/>
          <w:color w:val="333333"/>
          <w:sz w:val="22"/>
          <w:szCs w:val="22"/>
          <w:bdr w:val="none" w:sz="0" w:space="0" w:color="auto" w:frame="1"/>
        </w:rPr>
        <w:t>T</w:t>
      </w:r>
      <w:r w:rsidR="00280BAA" w:rsidRPr="00280BAA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he minimum dwelling coverage required on an H06 is determined by the insurer.  </w:t>
      </w:r>
      <w:r w:rsidR="00280BAA" w:rsidRPr="00280BAA">
        <w:rPr>
          <w:rFonts w:asciiTheme="minorHAnsi" w:hAnsiTheme="minorHAnsi"/>
          <w:i/>
          <w:color w:val="333333"/>
          <w:sz w:val="22"/>
          <w:szCs w:val="22"/>
          <w:bdr w:val="none" w:sz="0" w:space="0" w:color="auto" w:frame="1"/>
        </w:rPr>
        <w:t>There is no longer a 20% of appraised value minimum dwelling coverage requirement</w:t>
      </w:r>
    </w:p>
    <w:p w14:paraId="035F190E" w14:textId="77777777" w:rsidR="00E67288" w:rsidRDefault="00E67288" w:rsidP="009767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5B9BD5" w:themeColor="accent1"/>
          <w:sz w:val="28"/>
          <w:szCs w:val="28"/>
          <w:bdr w:val="none" w:sz="0" w:space="0" w:color="auto" w:frame="1"/>
        </w:rPr>
      </w:pPr>
    </w:p>
    <w:p w14:paraId="3CAAC04B" w14:textId="2F26ED01" w:rsidR="00280BAA" w:rsidRDefault="00280BAA" w:rsidP="009767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color w:val="5B9BD5" w:themeColor="accent1"/>
          <w:sz w:val="28"/>
          <w:szCs w:val="28"/>
          <w:bdr w:val="none" w:sz="0" w:space="0" w:color="auto" w:frame="1"/>
        </w:rPr>
      </w:pPr>
      <w:r w:rsidRPr="009767F2">
        <w:rPr>
          <w:rFonts w:asciiTheme="minorHAnsi" w:hAnsiTheme="minorHAnsi"/>
          <w:b/>
          <w:color w:val="5B9BD5" w:themeColor="accent1"/>
          <w:sz w:val="28"/>
          <w:szCs w:val="28"/>
          <w:bdr w:val="none" w:sz="0" w:space="0" w:color="auto" w:frame="1"/>
        </w:rPr>
        <w:lastRenderedPageBreak/>
        <w:t>Flood Insurance:</w:t>
      </w:r>
    </w:p>
    <w:p w14:paraId="7AAACD3C" w14:textId="77777777" w:rsidR="009767F2" w:rsidRPr="008C2185" w:rsidRDefault="009767F2" w:rsidP="009767F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5B9BD5" w:themeColor="accent1"/>
          <w:sz w:val="18"/>
          <w:szCs w:val="22"/>
        </w:rPr>
      </w:pPr>
    </w:p>
    <w:p w14:paraId="7D9FC519" w14:textId="7F44BCFD" w:rsidR="00280BAA" w:rsidRPr="009767F2" w:rsidRDefault="009767F2" w:rsidP="009767F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Flood</w:t>
      </w:r>
      <w:r w:rsidR="00280BAA" w:rsidRPr="009767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coverage needs to be the amount of loan </w:t>
      </w:r>
      <w:r w:rsidR="00280BAA" w:rsidRPr="009767F2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or</w:t>
      </w:r>
      <w:r w:rsidR="00280BAA" w:rsidRPr="009767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$250,000 </w:t>
      </w:r>
      <w:r w:rsidR="00280BAA" w:rsidRPr="009767F2">
        <w:rPr>
          <w:rFonts w:asciiTheme="minorHAnsi" w:hAnsiTheme="minorHAnsi"/>
          <w:b/>
          <w:color w:val="333333"/>
          <w:sz w:val="22"/>
          <w:szCs w:val="22"/>
          <w:bdr w:val="none" w:sz="0" w:space="0" w:color="auto" w:frame="1"/>
        </w:rPr>
        <w:t>whichever is less</w:t>
      </w:r>
    </w:p>
    <w:p w14:paraId="38CEFD9E" w14:textId="77777777" w:rsidR="00A339CC" w:rsidRPr="00E67288" w:rsidRDefault="00280BAA" w:rsidP="009767F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E67288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The max deductible </w:t>
      </w:r>
      <w:r w:rsidRPr="00E67288">
        <w:rPr>
          <w:rFonts w:asciiTheme="minorHAnsi" w:hAnsiTheme="minorHAnsi"/>
          <w:color w:val="333333"/>
          <w:sz w:val="22"/>
          <w:szCs w:val="22"/>
          <w:u w:val="single"/>
          <w:bdr w:val="none" w:sz="0" w:space="0" w:color="auto" w:frame="1"/>
        </w:rPr>
        <w:t>cannot</w:t>
      </w:r>
      <w:r w:rsidRPr="00E67288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exceed $</w:t>
      </w:r>
      <w:r w:rsidR="00A02226" w:rsidRPr="00E67288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10</w:t>
      </w:r>
      <w:r w:rsidRPr="00E67288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,000</w:t>
      </w:r>
      <w:r w:rsidR="00A02226" w:rsidRPr="00E67288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for individual policies; unless state or federal law requires a higher amount, the greater of $1,000 or 1% of the face amount of the policy if USDA</w:t>
      </w:r>
    </w:p>
    <w:p w14:paraId="755957B3" w14:textId="1FD49118" w:rsidR="00280BAA" w:rsidRPr="00E67288" w:rsidRDefault="00280BAA" w:rsidP="009767F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E67288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$25,000 master policy on condos</w:t>
      </w:r>
    </w:p>
    <w:p w14:paraId="7F866589" w14:textId="349A84CD" w:rsidR="00280BAA" w:rsidRPr="009767F2" w:rsidRDefault="00280BAA" w:rsidP="009767F2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9767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All information on the flood certificate and binder should be reviewed for accuracy, includ</w:t>
      </w:r>
      <w:r w:rsidR="009767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ing</w:t>
      </w:r>
      <w:r w:rsidRPr="009767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 xml:space="preserve"> but not limited to:</w:t>
      </w:r>
    </w:p>
    <w:p w14:paraId="61F22E2E" w14:textId="51A3AB97" w:rsidR="00280BAA" w:rsidRPr="009767F2" w:rsidRDefault="00280BAA" w:rsidP="009767F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  <w:sz w:val="22"/>
          <w:szCs w:val="22"/>
        </w:rPr>
      </w:pPr>
      <w:r w:rsidRPr="009767F2"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 xml:space="preserve">Flood Zone </w:t>
      </w:r>
      <w:r w:rsidR="009767F2"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 xml:space="preserve">(which </w:t>
      </w:r>
      <w:r w:rsidRPr="009767F2"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should match flood cert</w:t>
      </w:r>
      <w:r w:rsidR="009767F2"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)</w:t>
      </w:r>
    </w:p>
    <w:p w14:paraId="22E28CD4" w14:textId="262735D2" w:rsidR="00280BAA" w:rsidRPr="009767F2" w:rsidRDefault="009767F2" w:rsidP="009767F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  <w:sz w:val="22"/>
          <w:szCs w:val="22"/>
        </w:rPr>
      </w:pPr>
      <w:r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M</w:t>
      </w:r>
      <w:r w:rsidR="00280BAA" w:rsidRPr="009767F2"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onthly premium amounts</w:t>
      </w:r>
    </w:p>
    <w:p w14:paraId="68416CFE" w14:textId="799B47AB" w:rsidR="00280BAA" w:rsidRPr="009767F2" w:rsidRDefault="009767F2" w:rsidP="009767F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666666"/>
          <w:sz w:val="22"/>
          <w:szCs w:val="22"/>
        </w:rPr>
      </w:pPr>
      <w:r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M</w:t>
      </w:r>
      <w:r w:rsidR="00280BAA" w:rsidRPr="009767F2">
        <w:rPr>
          <w:rFonts w:asciiTheme="minorHAnsi" w:hAnsiTheme="minorHAnsi"/>
          <w:color w:val="666666"/>
          <w:sz w:val="22"/>
          <w:szCs w:val="22"/>
          <w:bdr w:val="none" w:sz="0" w:space="0" w:color="auto" w:frame="1"/>
        </w:rPr>
        <w:t>ortgagee clause</w:t>
      </w:r>
    </w:p>
    <w:p w14:paraId="30FF2D28" w14:textId="3586CBC6" w:rsidR="00280BAA" w:rsidRPr="00B33DE2" w:rsidRDefault="00280BAA" w:rsidP="009767F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9767F2">
        <w:rPr>
          <w:rFonts w:asciiTheme="minorHAnsi" w:hAnsiTheme="minorHAnsi"/>
          <w:color w:val="333333"/>
          <w:sz w:val="22"/>
          <w:szCs w:val="22"/>
          <w:bdr w:val="none" w:sz="0" w:space="0" w:color="auto" w:frame="1"/>
        </w:rPr>
        <w:t>Flood policies may be transferred from current owner to borrower(s)</w:t>
      </w:r>
    </w:p>
    <w:p w14:paraId="0F44473F" w14:textId="00F716FA" w:rsidR="00B33DE2" w:rsidRPr="0039386F" w:rsidRDefault="00B33DE2" w:rsidP="009767F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39386F">
        <w:rPr>
          <w:rFonts w:asciiTheme="minorHAnsi" w:hAnsiTheme="minorHAnsi" w:cs="Helvetica"/>
          <w:color w:val="333333"/>
          <w:sz w:val="22"/>
          <w:szCs w:val="22"/>
        </w:rPr>
        <w:t>Flood Insurance must be escrowed</w:t>
      </w:r>
    </w:p>
    <w:p w14:paraId="55AF5C16" w14:textId="436CA995" w:rsidR="00A57467" w:rsidRDefault="00A57467" w:rsidP="00A574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</w:p>
    <w:p w14:paraId="3AB2A10E" w14:textId="6AE3378E" w:rsidR="00A57467" w:rsidRDefault="008C2185" w:rsidP="00A574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5B9BD5" w:themeColor="accent1"/>
          <w:sz w:val="28"/>
          <w:szCs w:val="22"/>
        </w:rPr>
      </w:pPr>
      <w:r>
        <w:rPr>
          <w:rFonts w:asciiTheme="minorHAnsi" w:hAnsiTheme="minorHAnsi" w:cs="Helvetica"/>
          <w:b/>
          <w:color w:val="5B9BD5" w:themeColor="accent1"/>
          <w:sz w:val="28"/>
          <w:szCs w:val="22"/>
        </w:rPr>
        <w:t>Determination</w:t>
      </w:r>
      <w:r w:rsidR="00A57467" w:rsidRPr="00A57467">
        <w:rPr>
          <w:rFonts w:asciiTheme="minorHAnsi" w:hAnsiTheme="minorHAnsi" w:cs="Helvetica"/>
          <w:b/>
          <w:color w:val="5B9BD5" w:themeColor="accent1"/>
          <w:sz w:val="28"/>
          <w:szCs w:val="22"/>
        </w:rPr>
        <w:t>:</w:t>
      </w:r>
    </w:p>
    <w:p w14:paraId="29D72F3C" w14:textId="77777777" w:rsidR="008C2185" w:rsidRPr="008C2185" w:rsidRDefault="008C2185" w:rsidP="00A574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5B9BD5" w:themeColor="accent1"/>
          <w:sz w:val="18"/>
          <w:szCs w:val="22"/>
        </w:rPr>
      </w:pPr>
    </w:p>
    <w:p w14:paraId="6C89BCC7" w14:textId="0BE9E41C" w:rsidR="008C2185" w:rsidRDefault="008C2185" w:rsidP="00A574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 w:rsidRPr="008C2185">
        <w:rPr>
          <w:rFonts w:asciiTheme="minorHAnsi" w:hAnsiTheme="minorHAnsi" w:cs="Helvetica"/>
          <w:sz w:val="22"/>
          <w:szCs w:val="22"/>
        </w:rPr>
        <w:t xml:space="preserve">This contains information on determining the amount of required property insurance coverage for a property </w:t>
      </w:r>
      <w:r w:rsidR="004A64D2">
        <w:rPr>
          <w:rFonts w:asciiTheme="minorHAnsi" w:hAnsiTheme="minorHAnsi" w:cs="Helvetica"/>
          <w:sz w:val="22"/>
          <w:szCs w:val="22"/>
        </w:rPr>
        <w:t>i</w:t>
      </w:r>
      <w:r w:rsidRPr="008C2185">
        <w:rPr>
          <w:rFonts w:asciiTheme="minorHAnsi" w:hAnsiTheme="minorHAnsi" w:cs="Helvetica"/>
          <w:sz w:val="22"/>
          <w:szCs w:val="22"/>
        </w:rPr>
        <w:t>n which an individually held insurance policy is maintained.</w:t>
      </w:r>
    </w:p>
    <w:p w14:paraId="5CC1A776" w14:textId="0C4246D1" w:rsidR="008C2185" w:rsidRDefault="008C2185" w:rsidP="00A574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</w:p>
    <w:p w14:paraId="65A37772" w14:textId="2002A979" w:rsidR="008C2185" w:rsidRPr="008C2185" w:rsidRDefault="008C2185" w:rsidP="00A574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Determining the Amount of Required Property Insurance – The following table describes how to calculate the amount of required property insurance coverage:</w:t>
      </w:r>
    </w:p>
    <w:p w14:paraId="054DB210" w14:textId="10B4C025" w:rsidR="00A57467" w:rsidRDefault="00A57467" w:rsidP="00A574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5B9BD5" w:themeColor="accent1"/>
          <w:sz w:val="28"/>
          <w:szCs w:val="22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737"/>
        <w:gridCol w:w="9343"/>
      </w:tblGrid>
      <w:tr w:rsidR="00A57467" w14:paraId="28A42D73" w14:textId="77777777" w:rsidTr="008C2185">
        <w:tc>
          <w:tcPr>
            <w:tcW w:w="360" w:type="dxa"/>
            <w:shd w:val="clear" w:color="auto" w:fill="D0CECE" w:themeFill="background2" w:themeFillShade="E6"/>
          </w:tcPr>
          <w:p w14:paraId="4A26DCEB" w14:textId="56A2F246" w:rsid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color w:val="5B9BD5" w:themeColor="accent1"/>
                <w:sz w:val="28"/>
                <w:szCs w:val="22"/>
              </w:rPr>
            </w:pPr>
            <w:r w:rsidRPr="00A57467">
              <w:rPr>
                <w:rFonts w:asciiTheme="minorHAnsi" w:hAnsiTheme="minorHAnsi" w:cs="Helvetica"/>
                <w:b/>
                <w:sz w:val="28"/>
                <w:szCs w:val="22"/>
              </w:rPr>
              <w:t>Step</w:t>
            </w:r>
          </w:p>
        </w:tc>
        <w:tc>
          <w:tcPr>
            <w:tcW w:w="9720" w:type="dxa"/>
            <w:shd w:val="clear" w:color="auto" w:fill="D0CECE" w:themeFill="background2" w:themeFillShade="E6"/>
          </w:tcPr>
          <w:p w14:paraId="4FF5ED79" w14:textId="4048E2FE" w:rsid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color w:val="5B9BD5" w:themeColor="accent1"/>
                <w:sz w:val="28"/>
                <w:szCs w:val="22"/>
              </w:rPr>
            </w:pPr>
            <w:r w:rsidRPr="00A57467">
              <w:rPr>
                <w:rFonts w:asciiTheme="minorHAnsi" w:hAnsiTheme="minorHAnsi" w:cs="Helvetica"/>
                <w:b/>
                <w:sz w:val="28"/>
                <w:szCs w:val="22"/>
              </w:rPr>
              <w:t>Description</w:t>
            </w:r>
          </w:p>
        </w:tc>
      </w:tr>
      <w:tr w:rsidR="00A57467" w14:paraId="42D8164B" w14:textId="77777777" w:rsidTr="008C2185">
        <w:tc>
          <w:tcPr>
            <w:tcW w:w="360" w:type="dxa"/>
            <w:shd w:val="clear" w:color="auto" w:fill="D0CECE" w:themeFill="background2" w:themeFillShade="E6"/>
          </w:tcPr>
          <w:p w14:paraId="3D705D3C" w14:textId="03A1A33F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b/>
                <w:sz w:val="22"/>
                <w:szCs w:val="22"/>
              </w:rPr>
              <w:t>1</w:t>
            </w:r>
          </w:p>
        </w:tc>
        <w:tc>
          <w:tcPr>
            <w:tcW w:w="9720" w:type="dxa"/>
          </w:tcPr>
          <w:p w14:paraId="1AB59314" w14:textId="3C3DF4EF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color w:val="5B9BD5" w:themeColor="accent1"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sz w:val="22"/>
                <w:szCs w:val="22"/>
              </w:rPr>
              <w:t>Compare the insurable value of the improvements as established by the property insurer to the unpaid principal balance of the mortgage loan</w:t>
            </w:r>
          </w:p>
        </w:tc>
      </w:tr>
      <w:tr w:rsidR="00A57467" w14:paraId="0065C310" w14:textId="77777777" w:rsidTr="008C2185">
        <w:tc>
          <w:tcPr>
            <w:tcW w:w="360" w:type="dxa"/>
            <w:shd w:val="clear" w:color="auto" w:fill="D0CECE" w:themeFill="background2" w:themeFillShade="E6"/>
          </w:tcPr>
          <w:p w14:paraId="76DC25A4" w14:textId="07C94FF2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b/>
                <w:sz w:val="22"/>
                <w:szCs w:val="22"/>
              </w:rPr>
              <w:t>1A</w:t>
            </w:r>
          </w:p>
        </w:tc>
        <w:tc>
          <w:tcPr>
            <w:tcW w:w="9720" w:type="dxa"/>
          </w:tcPr>
          <w:p w14:paraId="769D0214" w14:textId="47D164D3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sz w:val="22"/>
                <w:szCs w:val="22"/>
              </w:rPr>
              <w:t>If the insurable value of the improvements is less than the unpaid principal balance, the insurable value is the amount of coverage required</w:t>
            </w:r>
          </w:p>
        </w:tc>
      </w:tr>
      <w:tr w:rsidR="00A57467" w14:paraId="63662D2C" w14:textId="77777777" w:rsidTr="008C2185">
        <w:tc>
          <w:tcPr>
            <w:tcW w:w="360" w:type="dxa"/>
            <w:shd w:val="clear" w:color="auto" w:fill="D0CECE" w:themeFill="background2" w:themeFillShade="E6"/>
          </w:tcPr>
          <w:p w14:paraId="5AF8F1C9" w14:textId="6B6DACF7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b/>
                <w:sz w:val="22"/>
                <w:szCs w:val="22"/>
              </w:rPr>
              <w:t>1B</w:t>
            </w:r>
          </w:p>
        </w:tc>
        <w:tc>
          <w:tcPr>
            <w:tcW w:w="9720" w:type="dxa"/>
          </w:tcPr>
          <w:p w14:paraId="1B6095F9" w14:textId="72FFB97D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sz w:val="22"/>
                <w:szCs w:val="22"/>
              </w:rPr>
              <w:t>If the unpaid principal balance of the mortgage loan is less than the insurable value of the improvements, go to Step 2</w:t>
            </w:r>
          </w:p>
        </w:tc>
      </w:tr>
      <w:tr w:rsidR="00A57467" w14:paraId="23CE2293" w14:textId="77777777" w:rsidTr="008C2185">
        <w:tc>
          <w:tcPr>
            <w:tcW w:w="360" w:type="dxa"/>
            <w:shd w:val="clear" w:color="auto" w:fill="D0CECE" w:themeFill="background2" w:themeFillShade="E6"/>
          </w:tcPr>
          <w:p w14:paraId="61DFE845" w14:textId="699181E1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</w:tcPr>
          <w:p w14:paraId="65DE7F7F" w14:textId="1591935D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sz w:val="22"/>
                <w:szCs w:val="22"/>
              </w:rPr>
              <w:t>Calculate 80% of the insurable value of the improvements</w:t>
            </w:r>
          </w:p>
        </w:tc>
      </w:tr>
      <w:tr w:rsidR="00A57467" w14:paraId="65E46493" w14:textId="77777777" w:rsidTr="008C2185">
        <w:tc>
          <w:tcPr>
            <w:tcW w:w="360" w:type="dxa"/>
            <w:shd w:val="clear" w:color="auto" w:fill="D0CECE" w:themeFill="background2" w:themeFillShade="E6"/>
          </w:tcPr>
          <w:p w14:paraId="36112969" w14:textId="7600138D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b/>
                <w:sz w:val="22"/>
                <w:szCs w:val="22"/>
              </w:rPr>
              <w:t>2A</w:t>
            </w:r>
          </w:p>
        </w:tc>
        <w:tc>
          <w:tcPr>
            <w:tcW w:w="9720" w:type="dxa"/>
          </w:tcPr>
          <w:p w14:paraId="4B6E69F9" w14:textId="6E3A8C83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sz w:val="22"/>
                <w:szCs w:val="22"/>
              </w:rPr>
              <w:t>If the result of this calculation is equal to or less than the unpaid principal balance of the mortgage, the unpaid principal balance is the amount of coverage required</w:t>
            </w:r>
          </w:p>
        </w:tc>
      </w:tr>
      <w:tr w:rsidR="00A57467" w14:paraId="45E321AC" w14:textId="77777777" w:rsidTr="008C2185">
        <w:tc>
          <w:tcPr>
            <w:tcW w:w="360" w:type="dxa"/>
            <w:shd w:val="clear" w:color="auto" w:fill="D0CECE" w:themeFill="background2" w:themeFillShade="E6"/>
          </w:tcPr>
          <w:p w14:paraId="05F3438E" w14:textId="679919B0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b/>
                <w:sz w:val="22"/>
                <w:szCs w:val="22"/>
              </w:rPr>
              <w:t>2B</w:t>
            </w:r>
          </w:p>
        </w:tc>
        <w:tc>
          <w:tcPr>
            <w:tcW w:w="9720" w:type="dxa"/>
          </w:tcPr>
          <w:p w14:paraId="6073647E" w14:textId="320620F4" w:rsidR="00A57467" w:rsidRPr="00A57467" w:rsidRDefault="00A57467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A57467">
              <w:rPr>
                <w:rFonts w:asciiTheme="minorHAnsi" w:hAnsiTheme="minorHAnsi" w:cs="Helvetica"/>
                <w:sz w:val="22"/>
                <w:szCs w:val="22"/>
              </w:rPr>
              <w:t>If the result of this calculation is greater than the unpaid principal balance of the mortgage, this calculated figure is the amount of coverage required</w:t>
            </w:r>
          </w:p>
        </w:tc>
      </w:tr>
    </w:tbl>
    <w:p w14:paraId="013C04FE" w14:textId="667AFC0D" w:rsidR="00A57467" w:rsidRDefault="00A57467" w:rsidP="00A574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5B9BD5" w:themeColor="accent1"/>
          <w:sz w:val="28"/>
          <w:szCs w:val="22"/>
        </w:rPr>
      </w:pPr>
    </w:p>
    <w:p w14:paraId="17245DBC" w14:textId="6A25FFBE" w:rsidR="008C2185" w:rsidRDefault="008C2185" w:rsidP="00A574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5B9BD5" w:themeColor="accent1"/>
          <w:sz w:val="28"/>
          <w:szCs w:val="22"/>
        </w:rPr>
      </w:pPr>
      <w:r>
        <w:rPr>
          <w:rFonts w:asciiTheme="minorHAnsi" w:hAnsiTheme="minorHAnsi" w:cs="Helvetica"/>
          <w:b/>
          <w:color w:val="5B9BD5" w:themeColor="accent1"/>
          <w:sz w:val="28"/>
          <w:szCs w:val="22"/>
        </w:rPr>
        <w:t>Examples:</w:t>
      </w:r>
    </w:p>
    <w:p w14:paraId="4ED103CC" w14:textId="77777777" w:rsidR="008C2185" w:rsidRDefault="008C2185" w:rsidP="00A574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color w:val="5B9BD5" w:themeColor="accent1"/>
          <w:sz w:val="28"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7"/>
        <w:gridCol w:w="2518"/>
        <w:gridCol w:w="2430"/>
        <w:gridCol w:w="2790"/>
      </w:tblGrid>
      <w:tr w:rsidR="008C2185" w14:paraId="1955D084" w14:textId="77777777" w:rsidTr="00B44E1E">
        <w:tc>
          <w:tcPr>
            <w:tcW w:w="2337" w:type="dxa"/>
            <w:shd w:val="clear" w:color="auto" w:fill="D0CECE" w:themeFill="background2" w:themeFillShade="E6"/>
          </w:tcPr>
          <w:p w14:paraId="4F139103" w14:textId="615C9A19" w:rsidR="008C2185" w:rsidRPr="008C2185" w:rsidRDefault="008C2185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8"/>
                <w:szCs w:val="22"/>
              </w:rPr>
            </w:pPr>
            <w:r w:rsidRPr="008C2185">
              <w:rPr>
                <w:rFonts w:asciiTheme="minorHAnsi" w:hAnsiTheme="minorHAnsi" w:cs="Helvetica"/>
                <w:b/>
                <w:sz w:val="28"/>
                <w:szCs w:val="22"/>
              </w:rPr>
              <w:t>Category</w:t>
            </w:r>
          </w:p>
        </w:tc>
        <w:tc>
          <w:tcPr>
            <w:tcW w:w="2518" w:type="dxa"/>
            <w:shd w:val="clear" w:color="auto" w:fill="D0CECE" w:themeFill="background2" w:themeFillShade="E6"/>
          </w:tcPr>
          <w:p w14:paraId="3CAF010C" w14:textId="1ED3B240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 w:val="28"/>
                <w:szCs w:val="22"/>
              </w:rPr>
            </w:pPr>
            <w:r w:rsidRPr="008C2185">
              <w:rPr>
                <w:rFonts w:asciiTheme="minorHAnsi" w:hAnsiTheme="minorHAnsi" w:cs="Helvetica"/>
                <w:b/>
                <w:sz w:val="28"/>
                <w:szCs w:val="22"/>
              </w:rPr>
              <w:t>Property A</w:t>
            </w:r>
          </w:p>
        </w:tc>
        <w:tc>
          <w:tcPr>
            <w:tcW w:w="2430" w:type="dxa"/>
            <w:shd w:val="clear" w:color="auto" w:fill="D0CECE" w:themeFill="background2" w:themeFillShade="E6"/>
          </w:tcPr>
          <w:p w14:paraId="20C804D9" w14:textId="012CB168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 w:val="28"/>
                <w:szCs w:val="22"/>
              </w:rPr>
            </w:pPr>
            <w:r w:rsidRPr="008C2185">
              <w:rPr>
                <w:rFonts w:asciiTheme="minorHAnsi" w:hAnsiTheme="minorHAnsi" w:cs="Helvetica"/>
                <w:b/>
                <w:sz w:val="28"/>
                <w:szCs w:val="22"/>
              </w:rPr>
              <w:t>Property B</w:t>
            </w:r>
          </w:p>
        </w:tc>
        <w:tc>
          <w:tcPr>
            <w:tcW w:w="2790" w:type="dxa"/>
            <w:shd w:val="clear" w:color="auto" w:fill="D0CECE" w:themeFill="background2" w:themeFillShade="E6"/>
          </w:tcPr>
          <w:p w14:paraId="346ECA5B" w14:textId="7EDD7D42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b/>
                <w:sz w:val="28"/>
                <w:szCs w:val="22"/>
              </w:rPr>
            </w:pPr>
            <w:r w:rsidRPr="008C2185">
              <w:rPr>
                <w:rFonts w:asciiTheme="minorHAnsi" w:hAnsiTheme="minorHAnsi" w:cs="Helvetica"/>
                <w:b/>
                <w:sz w:val="28"/>
                <w:szCs w:val="22"/>
              </w:rPr>
              <w:t>Property C</w:t>
            </w:r>
          </w:p>
        </w:tc>
      </w:tr>
      <w:tr w:rsidR="008C2185" w14:paraId="7B2E09F8" w14:textId="77777777" w:rsidTr="00B44E1E">
        <w:tc>
          <w:tcPr>
            <w:tcW w:w="2337" w:type="dxa"/>
            <w:shd w:val="clear" w:color="auto" w:fill="D0CECE" w:themeFill="background2" w:themeFillShade="E6"/>
          </w:tcPr>
          <w:p w14:paraId="0C2D0810" w14:textId="5FA4816F" w:rsidR="008C2185" w:rsidRPr="00B44E1E" w:rsidRDefault="008C2185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B44E1E">
              <w:rPr>
                <w:rFonts w:asciiTheme="minorHAnsi" w:hAnsiTheme="minorHAnsi" w:cs="Helvetica"/>
                <w:b/>
                <w:sz w:val="22"/>
                <w:szCs w:val="22"/>
              </w:rPr>
              <w:t>Insurable Value</w:t>
            </w:r>
          </w:p>
        </w:tc>
        <w:tc>
          <w:tcPr>
            <w:tcW w:w="2518" w:type="dxa"/>
          </w:tcPr>
          <w:p w14:paraId="369AF274" w14:textId="7AF9F887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$90,000</w:t>
            </w:r>
          </w:p>
        </w:tc>
        <w:tc>
          <w:tcPr>
            <w:tcW w:w="2430" w:type="dxa"/>
          </w:tcPr>
          <w:p w14:paraId="71541F29" w14:textId="4F8E9180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$100,000</w:t>
            </w:r>
          </w:p>
        </w:tc>
        <w:tc>
          <w:tcPr>
            <w:tcW w:w="2790" w:type="dxa"/>
          </w:tcPr>
          <w:p w14:paraId="433C4BA0" w14:textId="5E587053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$100,000</w:t>
            </w:r>
          </w:p>
        </w:tc>
      </w:tr>
      <w:tr w:rsidR="008C2185" w14:paraId="6E7C2B4E" w14:textId="77777777" w:rsidTr="00B44E1E">
        <w:tc>
          <w:tcPr>
            <w:tcW w:w="2337" w:type="dxa"/>
            <w:shd w:val="clear" w:color="auto" w:fill="D0CECE" w:themeFill="background2" w:themeFillShade="E6"/>
          </w:tcPr>
          <w:p w14:paraId="30416EEC" w14:textId="437039D3" w:rsidR="008C2185" w:rsidRPr="00B44E1E" w:rsidRDefault="008C2185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B44E1E">
              <w:rPr>
                <w:rFonts w:asciiTheme="minorHAnsi" w:hAnsiTheme="minorHAnsi" w:cs="Helvetica"/>
                <w:b/>
                <w:sz w:val="22"/>
                <w:szCs w:val="22"/>
              </w:rPr>
              <w:t>Unpaid Principal Balance</w:t>
            </w:r>
          </w:p>
        </w:tc>
        <w:tc>
          <w:tcPr>
            <w:tcW w:w="2518" w:type="dxa"/>
          </w:tcPr>
          <w:p w14:paraId="59492914" w14:textId="6703A79D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$95,000</w:t>
            </w:r>
          </w:p>
        </w:tc>
        <w:tc>
          <w:tcPr>
            <w:tcW w:w="2430" w:type="dxa"/>
          </w:tcPr>
          <w:p w14:paraId="66B9B9D5" w14:textId="4164F9B7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$90,000</w:t>
            </w:r>
          </w:p>
        </w:tc>
        <w:tc>
          <w:tcPr>
            <w:tcW w:w="2790" w:type="dxa"/>
          </w:tcPr>
          <w:p w14:paraId="7E1B0AD9" w14:textId="03A5A81D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$75,000</w:t>
            </w:r>
          </w:p>
        </w:tc>
      </w:tr>
      <w:tr w:rsidR="008C2185" w14:paraId="4625EA35" w14:textId="77777777" w:rsidTr="00B44E1E">
        <w:tc>
          <w:tcPr>
            <w:tcW w:w="2337" w:type="dxa"/>
            <w:shd w:val="clear" w:color="auto" w:fill="D0CECE" w:themeFill="background2" w:themeFillShade="E6"/>
          </w:tcPr>
          <w:p w14:paraId="2C962E92" w14:textId="096FA66C" w:rsidR="008C2185" w:rsidRPr="00B44E1E" w:rsidRDefault="008C2185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B44E1E">
              <w:rPr>
                <w:rFonts w:asciiTheme="minorHAnsi" w:hAnsiTheme="minorHAnsi" w:cs="Helvetica"/>
                <w:b/>
                <w:sz w:val="22"/>
                <w:szCs w:val="22"/>
              </w:rPr>
              <w:t>80% Insurable Value</w:t>
            </w:r>
          </w:p>
        </w:tc>
        <w:tc>
          <w:tcPr>
            <w:tcW w:w="2518" w:type="dxa"/>
          </w:tcPr>
          <w:p w14:paraId="18856BC9" w14:textId="664CF124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0C6C0" wp14:editId="23255476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74930</wp:posOffset>
                      </wp:positionV>
                      <wp:extent cx="2762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14A3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pt,5.9pt" to="62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30" w:type="dxa"/>
          </w:tcPr>
          <w:p w14:paraId="5184C234" w14:textId="11E8F6F8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$80,000</w:t>
            </w:r>
          </w:p>
        </w:tc>
        <w:tc>
          <w:tcPr>
            <w:tcW w:w="2790" w:type="dxa"/>
          </w:tcPr>
          <w:p w14:paraId="6D1B29F7" w14:textId="7BABEF64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%80,000</w:t>
            </w:r>
          </w:p>
        </w:tc>
      </w:tr>
      <w:tr w:rsidR="008C2185" w14:paraId="75C08FAC" w14:textId="77777777" w:rsidTr="00B44E1E">
        <w:tc>
          <w:tcPr>
            <w:tcW w:w="2337" w:type="dxa"/>
            <w:shd w:val="clear" w:color="auto" w:fill="D0CECE" w:themeFill="background2" w:themeFillShade="E6"/>
          </w:tcPr>
          <w:p w14:paraId="3796C84C" w14:textId="1E4396A0" w:rsidR="008C2185" w:rsidRPr="00B44E1E" w:rsidRDefault="008C2185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B44E1E">
              <w:rPr>
                <w:rFonts w:asciiTheme="minorHAnsi" w:hAnsiTheme="minorHAnsi" w:cs="Helvetica"/>
                <w:b/>
                <w:sz w:val="22"/>
                <w:szCs w:val="22"/>
              </w:rPr>
              <w:t>Required Coverage</w:t>
            </w:r>
          </w:p>
        </w:tc>
        <w:tc>
          <w:tcPr>
            <w:tcW w:w="2518" w:type="dxa"/>
          </w:tcPr>
          <w:p w14:paraId="2E8EEBAB" w14:textId="033AE88C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$90,000</w:t>
            </w:r>
          </w:p>
        </w:tc>
        <w:tc>
          <w:tcPr>
            <w:tcW w:w="2430" w:type="dxa"/>
          </w:tcPr>
          <w:p w14:paraId="3BF3D3B7" w14:textId="400F805A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$90,000</w:t>
            </w:r>
          </w:p>
        </w:tc>
        <w:tc>
          <w:tcPr>
            <w:tcW w:w="2790" w:type="dxa"/>
          </w:tcPr>
          <w:p w14:paraId="140DF018" w14:textId="4F343438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$80,000</w:t>
            </w:r>
          </w:p>
        </w:tc>
      </w:tr>
      <w:tr w:rsidR="008C2185" w14:paraId="547AA543" w14:textId="77777777" w:rsidTr="00B44E1E">
        <w:tc>
          <w:tcPr>
            <w:tcW w:w="2337" w:type="dxa"/>
            <w:shd w:val="clear" w:color="auto" w:fill="D0CECE" w:themeFill="background2" w:themeFillShade="E6"/>
          </w:tcPr>
          <w:p w14:paraId="7754BA35" w14:textId="34F15523" w:rsidR="008C2185" w:rsidRPr="00B44E1E" w:rsidRDefault="008C2185" w:rsidP="00A574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Helvetica"/>
                <w:b/>
                <w:sz w:val="22"/>
                <w:szCs w:val="22"/>
              </w:rPr>
            </w:pPr>
            <w:r w:rsidRPr="00B44E1E">
              <w:rPr>
                <w:rFonts w:asciiTheme="minorHAnsi" w:hAnsiTheme="minorHAnsi" w:cs="Helvetica"/>
                <w:b/>
                <w:sz w:val="22"/>
                <w:szCs w:val="22"/>
              </w:rPr>
              <w:t>Calculation Method</w:t>
            </w:r>
          </w:p>
        </w:tc>
        <w:tc>
          <w:tcPr>
            <w:tcW w:w="2518" w:type="dxa"/>
          </w:tcPr>
          <w:p w14:paraId="087885DC" w14:textId="658319B3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Step 1A</w:t>
            </w:r>
          </w:p>
        </w:tc>
        <w:tc>
          <w:tcPr>
            <w:tcW w:w="2430" w:type="dxa"/>
          </w:tcPr>
          <w:p w14:paraId="12B3ED1E" w14:textId="2FE6ADED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Step 2A</w:t>
            </w:r>
          </w:p>
        </w:tc>
        <w:tc>
          <w:tcPr>
            <w:tcW w:w="2790" w:type="dxa"/>
          </w:tcPr>
          <w:p w14:paraId="1B9C411D" w14:textId="59BBA94F" w:rsidR="008C2185" w:rsidRPr="008C2185" w:rsidRDefault="008C2185" w:rsidP="008C218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Helvetica"/>
                <w:sz w:val="22"/>
                <w:szCs w:val="22"/>
              </w:rPr>
            </w:pPr>
            <w:r w:rsidRPr="008C2185">
              <w:rPr>
                <w:rFonts w:asciiTheme="minorHAnsi" w:hAnsiTheme="minorHAnsi" w:cs="Helvetica"/>
                <w:sz w:val="22"/>
                <w:szCs w:val="22"/>
              </w:rPr>
              <w:t>Step 2B</w:t>
            </w:r>
          </w:p>
        </w:tc>
      </w:tr>
    </w:tbl>
    <w:p w14:paraId="29015E59" w14:textId="17B15577" w:rsidR="00875C8C" w:rsidRPr="00CF5433" w:rsidRDefault="00875C8C" w:rsidP="004E34D7">
      <w:pPr>
        <w:tabs>
          <w:tab w:val="left" w:pos="4176"/>
        </w:tabs>
        <w:rPr>
          <w:rFonts w:ascii="Times New Roman" w:hAnsi="Times New Roman" w:cs="Times New Roman"/>
          <w:sz w:val="24"/>
          <w:szCs w:val="24"/>
        </w:rPr>
      </w:pPr>
    </w:p>
    <w:sectPr w:rsidR="00875C8C" w:rsidRPr="00CF5433" w:rsidSect="00280BAA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58E34" w14:textId="77777777" w:rsidR="008F2364" w:rsidRDefault="008F2364" w:rsidP="00FD4ABD">
      <w:pPr>
        <w:spacing w:after="0" w:line="240" w:lineRule="auto"/>
      </w:pPr>
      <w:r>
        <w:separator/>
      </w:r>
    </w:p>
  </w:endnote>
  <w:endnote w:type="continuationSeparator" w:id="0">
    <w:p w14:paraId="1EF0B5E1" w14:textId="77777777" w:rsidR="008F2364" w:rsidRDefault="008F2364" w:rsidP="00FD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F24A" w14:textId="77777777" w:rsidR="00631D63" w:rsidRPr="00BC219D" w:rsidRDefault="00631D63" w:rsidP="00BC219D">
    <w:pPr>
      <w:pStyle w:val="Footer"/>
      <w:tabs>
        <w:tab w:val="left" w:pos="4105"/>
      </w:tabs>
      <w:jc w:val="center"/>
      <w:rPr>
        <w:rFonts w:ascii="Cambria" w:hAnsi="Cambria"/>
        <w:b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42F5" w14:textId="77777777" w:rsidR="008F2364" w:rsidRDefault="008F2364" w:rsidP="00FD4ABD">
      <w:pPr>
        <w:spacing w:after="0" w:line="240" w:lineRule="auto"/>
      </w:pPr>
      <w:r>
        <w:separator/>
      </w:r>
    </w:p>
  </w:footnote>
  <w:footnote w:type="continuationSeparator" w:id="0">
    <w:p w14:paraId="40FEC009" w14:textId="77777777" w:rsidR="008F2364" w:rsidRDefault="008F2364" w:rsidP="00FD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53CD6" w14:textId="014105BC" w:rsidR="00280BAA" w:rsidRDefault="00280BAA" w:rsidP="00280BAA">
    <w:pPr>
      <w:pBdr>
        <w:bottom w:val="single" w:sz="12" w:space="1" w:color="auto"/>
      </w:pBdr>
      <w:tabs>
        <w:tab w:val="left" w:pos="1333"/>
      </w:tabs>
    </w:pPr>
    <w:r>
      <w:rPr>
        <w:rFonts w:ascii="Cambria" w:hAnsi="Cambria"/>
        <w:b/>
        <w:sz w:val="28"/>
        <w:szCs w:val="28"/>
      </w:rPr>
      <w:t xml:space="preserve">Homeowners and Flood Insurance Policy </w:t>
    </w:r>
    <w:r w:rsidR="00F80283">
      <w:rPr>
        <w:rFonts w:ascii="Cambria" w:hAnsi="Cambria"/>
        <w:b/>
        <w:sz w:val="28"/>
        <w:szCs w:val="28"/>
      </w:rPr>
      <w:t xml:space="preserve">                         </w:t>
    </w:r>
    <w:r>
      <w:rPr>
        <w:rFonts w:ascii="Cambria" w:hAnsi="Cambria"/>
        <w:b/>
        <w:sz w:val="28"/>
        <w:szCs w:val="28"/>
      </w:rPr>
      <w:t>(</w:t>
    </w:r>
    <w:r w:rsidR="0039386F">
      <w:rPr>
        <w:rFonts w:ascii="Cambria" w:hAnsi="Cambria"/>
        <w:b/>
        <w:sz w:val="28"/>
        <w:szCs w:val="28"/>
      </w:rPr>
      <w:t>D</w:t>
    </w:r>
    <w:r w:rsidR="00F80283">
      <w:rPr>
        <w:rFonts w:ascii="Cambria" w:hAnsi="Cambria"/>
        <w:b/>
        <w:sz w:val="28"/>
        <w:szCs w:val="28"/>
      </w:rPr>
      <w:t>ec-2020</w:t>
    </w:r>
    <w:r>
      <w:rPr>
        <w:rFonts w:ascii="Cambria" w:hAnsi="Cambria"/>
        <w:b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4B8B"/>
    <w:multiLevelType w:val="hybridMultilevel"/>
    <w:tmpl w:val="A60A7C02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21C2BF7"/>
    <w:multiLevelType w:val="multilevel"/>
    <w:tmpl w:val="311EC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D95730"/>
    <w:multiLevelType w:val="hybridMultilevel"/>
    <w:tmpl w:val="3662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F39E9"/>
    <w:multiLevelType w:val="hybridMultilevel"/>
    <w:tmpl w:val="FB4A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5143A"/>
    <w:multiLevelType w:val="multilevel"/>
    <w:tmpl w:val="419C5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A813BE"/>
    <w:multiLevelType w:val="hybridMultilevel"/>
    <w:tmpl w:val="7458B8CC"/>
    <w:lvl w:ilvl="0" w:tplc="2144A18E">
      <w:numFmt w:val="bullet"/>
      <w:lvlText w:val=""/>
      <w:lvlJc w:val="left"/>
      <w:pPr>
        <w:ind w:left="720" w:hanging="360"/>
      </w:pPr>
      <w:rPr>
        <w:rFonts w:ascii="Calibri" w:eastAsia="Times New Roman" w:hAnsi="Calibri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965C5"/>
    <w:multiLevelType w:val="hybridMultilevel"/>
    <w:tmpl w:val="2888493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34C2D4D"/>
    <w:multiLevelType w:val="hybridMultilevel"/>
    <w:tmpl w:val="37005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1639E"/>
    <w:multiLevelType w:val="multilevel"/>
    <w:tmpl w:val="A40A9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600953"/>
    <w:multiLevelType w:val="hybridMultilevel"/>
    <w:tmpl w:val="37623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BC"/>
    <w:rsid w:val="000229E9"/>
    <w:rsid w:val="00034D2A"/>
    <w:rsid w:val="0004636C"/>
    <w:rsid w:val="00046974"/>
    <w:rsid w:val="00086D90"/>
    <w:rsid w:val="00091BB9"/>
    <w:rsid w:val="000B6211"/>
    <w:rsid w:val="000D49B3"/>
    <w:rsid w:val="000E1960"/>
    <w:rsid w:val="000F33C8"/>
    <w:rsid w:val="0013464D"/>
    <w:rsid w:val="0013767C"/>
    <w:rsid w:val="001978B2"/>
    <w:rsid w:val="001A4D41"/>
    <w:rsid w:val="001B5443"/>
    <w:rsid w:val="001C0CCD"/>
    <w:rsid w:val="001C20BC"/>
    <w:rsid w:val="001D22A1"/>
    <w:rsid w:val="00222757"/>
    <w:rsid w:val="00224979"/>
    <w:rsid w:val="00224AE3"/>
    <w:rsid w:val="00226B5B"/>
    <w:rsid w:val="00257AFC"/>
    <w:rsid w:val="002764C5"/>
    <w:rsid w:val="00280BAA"/>
    <w:rsid w:val="00296FE1"/>
    <w:rsid w:val="002B767E"/>
    <w:rsid w:val="002D0CE0"/>
    <w:rsid w:val="0030254F"/>
    <w:rsid w:val="00312B6F"/>
    <w:rsid w:val="00317134"/>
    <w:rsid w:val="003231D4"/>
    <w:rsid w:val="00354999"/>
    <w:rsid w:val="00370E3B"/>
    <w:rsid w:val="00391006"/>
    <w:rsid w:val="0039386F"/>
    <w:rsid w:val="00394D80"/>
    <w:rsid w:val="003B59DA"/>
    <w:rsid w:val="003C476D"/>
    <w:rsid w:val="00470255"/>
    <w:rsid w:val="00470F14"/>
    <w:rsid w:val="00482BBB"/>
    <w:rsid w:val="004A0B09"/>
    <w:rsid w:val="004A64D2"/>
    <w:rsid w:val="004D1E26"/>
    <w:rsid w:val="004E34D7"/>
    <w:rsid w:val="005418B5"/>
    <w:rsid w:val="00556BA1"/>
    <w:rsid w:val="00556F9B"/>
    <w:rsid w:val="00564A54"/>
    <w:rsid w:val="00582342"/>
    <w:rsid w:val="0059320C"/>
    <w:rsid w:val="00595873"/>
    <w:rsid w:val="005C2C65"/>
    <w:rsid w:val="005D5F9B"/>
    <w:rsid w:val="005F11B0"/>
    <w:rsid w:val="0060101E"/>
    <w:rsid w:val="00613C90"/>
    <w:rsid w:val="0061652E"/>
    <w:rsid w:val="00621977"/>
    <w:rsid w:val="00623190"/>
    <w:rsid w:val="00631D63"/>
    <w:rsid w:val="00632079"/>
    <w:rsid w:val="0063620F"/>
    <w:rsid w:val="006A166F"/>
    <w:rsid w:val="006B7917"/>
    <w:rsid w:val="00725690"/>
    <w:rsid w:val="00753EB4"/>
    <w:rsid w:val="00795CC6"/>
    <w:rsid w:val="007A7C05"/>
    <w:rsid w:val="00806B42"/>
    <w:rsid w:val="008307AB"/>
    <w:rsid w:val="00831063"/>
    <w:rsid w:val="0083419C"/>
    <w:rsid w:val="00835C4D"/>
    <w:rsid w:val="00854016"/>
    <w:rsid w:val="00875C8C"/>
    <w:rsid w:val="008877A2"/>
    <w:rsid w:val="008C1B8B"/>
    <w:rsid w:val="008C2185"/>
    <w:rsid w:val="008D35B4"/>
    <w:rsid w:val="008F2364"/>
    <w:rsid w:val="00900128"/>
    <w:rsid w:val="00944167"/>
    <w:rsid w:val="00947C72"/>
    <w:rsid w:val="00950181"/>
    <w:rsid w:val="009767F2"/>
    <w:rsid w:val="00980C26"/>
    <w:rsid w:val="00987468"/>
    <w:rsid w:val="00A02226"/>
    <w:rsid w:val="00A24E7B"/>
    <w:rsid w:val="00A339CC"/>
    <w:rsid w:val="00A53370"/>
    <w:rsid w:val="00A57467"/>
    <w:rsid w:val="00A90BB6"/>
    <w:rsid w:val="00A95474"/>
    <w:rsid w:val="00AA7721"/>
    <w:rsid w:val="00AC391B"/>
    <w:rsid w:val="00B33DE2"/>
    <w:rsid w:val="00B44395"/>
    <w:rsid w:val="00B44E1E"/>
    <w:rsid w:val="00B713E3"/>
    <w:rsid w:val="00BC219D"/>
    <w:rsid w:val="00BF1FE8"/>
    <w:rsid w:val="00C3142A"/>
    <w:rsid w:val="00CA70A0"/>
    <w:rsid w:val="00CC081A"/>
    <w:rsid w:val="00CC3C3F"/>
    <w:rsid w:val="00CF5433"/>
    <w:rsid w:val="00D2561D"/>
    <w:rsid w:val="00D2714B"/>
    <w:rsid w:val="00D408D5"/>
    <w:rsid w:val="00D660D1"/>
    <w:rsid w:val="00DA416C"/>
    <w:rsid w:val="00DA4ABE"/>
    <w:rsid w:val="00DB027E"/>
    <w:rsid w:val="00E16811"/>
    <w:rsid w:val="00E315F2"/>
    <w:rsid w:val="00E34EC7"/>
    <w:rsid w:val="00E67288"/>
    <w:rsid w:val="00E90D0C"/>
    <w:rsid w:val="00E952A9"/>
    <w:rsid w:val="00EF4E22"/>
    <w:rsid w:val="00F22358"/>
    <w:rsid w:val="00F30B48"/>
    <w:rsid w:val="00F34391"/>
    <w:rsid w:val="00F37555"/>
    <w:rsid w:val="00F57251"/>
    <w:rsid w:val="00F641D1"/>
    <w:rsid w:val="00F738A4"/>
    <w:rsid w:val="00F80283"/>
    <w:rsid w:val="00FC433E"/>
    <w:rsid w:val="00FD0D40"/>
    <w:rsid w:val="00FD4ABD"/>
    <w:rsid w:val="00FD57DD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BF4532"/>
  <w15:docId w15:val="{5282A373-67A2-4FFF-86B6-B3DF157D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5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A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BD"/>
  </w:style>
  <w:style w:type="paragraph" w:styleId="Footer">
    <w:name w:val="footer"/>
    <w:basedOn w:val="Normal"/>
    <w:link w:val="FooterChar"/>
    <w:uiPriority w:val="99"/>
    <w:unhideWhenUsed/>
    <w:rsid w:val="00FD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BD"/>
  </w:style>
  <w:style w:type="table" w:styleId="TableGrid">
    <w:name w:val="Table Grid"/>
    <w:basedOn w:val="TableNormal"/>
    <w:uiPriority w:val="39"/>
    <w:rsid w:val="00C3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B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75C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p">
    <w:name w:val="fp"/>
    <w:basedOn w:val="Normal"/>
    <w:rsid w:val="0087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pdash">
    <w:name w:val="fpdash"/>
    <w:basedOn w:val="DefaultParagraphFont"/>
    <w:rsid w:val="00875C8C"/>
  </w:style>
  <w:style w:type="paragraph" w:styleId="NormalWeb">
    <w:name w:val="Normal (Web)"/>
    <w:basedOn w:val="Normal"/>
    <w:uiPriority w:val="99"/>
    <w:unhideWhenUsed/>
    <w:rsid w:val="0087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5C8C"/>
  </w:style>
  <w:style w:type="character" w:styleId="Strong">
    <w:name w:val="Strong"/>
    <w:basedOn w:val="DefaultParagraphFont"/>
    <w:uiPriority w:val="22"/>
    <w:qFormat/>
    <w:rsid w:val="0090012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B5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9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576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288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99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933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047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4033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116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925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605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99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894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881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985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328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645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803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064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0804">
          <w:marLeft w:val="0"/>
          <w:marRight w:val="0"/>
          <w:marTop w:val="3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6F3C-A680-4F70-8BCF-11D3A854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ilma.riccucci@norcom-usa.com</dc:creator>
  <cp:lastModifiedBy>Senaj Nasit</cp:lastModifiedBy>
  <cp:revision>2</cp:revision>
  <cp:lastPrinted>2016-08-15T16:30:00Z</cp:lastPrinted>
  <dcterms:created xsi:type="dcterms:W3CDTF">2021-01-05T16:25:00Z</dcterms:created>
  <dcterms:modified xsi:type="dcterms:W3CDTF">2021-01-05T16:25:00Z</dcterms:modified>
</cp:coreProperties>
</file>